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1EC" w:rsidRDefault="00D741EC" w:rsidP="00D741EC">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0026175" wp14:editId="46616CC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41EC" w:rsidRDefault="00D741EC" w:rsidP="00D741E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741EC" w:rsidRDefault="00D741EC" w:rsidP="00D741E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741EC" w:rsidRDefault="00D741EC" w:rsidP="00D741E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741EC" w:rsidRDefault="00D741EC" w:rsidP="00D741E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741EC" w:rsidRDefault="00D741EC" w:rsidP="00D741E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741EC" w:rsidRDefault="00D741EC" w:rsidP="00D741E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22967BF0" wp14:editId="021D6CC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D741EC" w:rsidRDefault="00D741EC" w:rsidP="00D741EC">
      <w:pPr>
        <w:spacing w:line="240" w:lineRule="auto"/>
        <w:jc w:val="both"/>
        <w:rPr>
          <w:rFonts w:ascii="Times New Roman" w:hAnsi="Times New Roman" w:cs="Times New Roman"/>
          <w:i/>
          <w:color w:val="000000"/>
          <w:sz w:val="24"/>
          <w:szCs w:val="24"/>
          <w:u w:val="single"/>
          <w:shd w:val="clear" w:color="auto" w:fill="FFFFFF"/>
          <w:lang w:val="uk-UA"/>
        </w:rPr>
      </w:pPr>
      <w:r w:rsidRPr="00D741EC">
        <w:rPr>
          <w:rFonts w:ascii="Times New Roman" w:hAnsi="Times New Roman" w:cs="Times New Roman"/>
          <w:i/>
          <w:color w:val="000000"/>
          <w:sz w:val="24"/>
          <w:szCs w:val="24"/>
          <w:u w:val="single"/>
          <w:shd w:val="clear" w:color="auto" w:fill="FFFFFF"/>
          <w:lang w:val="uk-UA"/>
        </w:rPr>
        <w:t xml:space="preserve">Чи зупиняються строки розгляду комісією регіонального рівня пояснень та копій документів щодо податкових накладних/розрахунків коригування, реєстрацію яких в ЄРПН </w:t>
      </w:r>
      <w:proofErr w:type="spellStart"/>
      <w:r w:rsidRPr="00D741EC">
        <w:rPr>
          <w:rFonts w:ascii="Times New Roman" w:hAnsi="Times New Roman" w:cs="Times New Roman"/>
          <w:i/>
          <w:color w:val="000000"/>
          <w:sz w:val="24"/>
          <w:szCs w:val="24"/>
          <w:u w:val="single"/>
          <w:shd w:val="clear" w:color="auto" w:fill="FFFFFF"/>
          <w:lang w:val="uk-UA"/>
        </w:rPr>
        <w:t>зупинено</w:t>
      </w:r>
      <w:proofErr w:type="spellEnd"/>
      <w:r w:rsidRPr="00D741EC">
        <w:rPr>
          <w:rFonts w:ascii="Times New Roman" w:hAnsi="Times New Roman" w:cs="Times New Roman"/>
          <w:i/>
          <w:color w:val="000000"/>
          <w:sz w:val="24"/>
          <w:szCs w:val="24"/>
          <w:u w:val="single"/>
          <w:shd w:val="clear" w:color="auto" w:fill="FFFFFF"/>
          <w:lang w:val="uk-UA"/>
        </w:rPr>
        <w:t>, та Таблиці даних платника податку на період дії правового режиму воєнного, надзвичайного стану?</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Порядок прийняття рішень про реєстрацію/відмову в реєстрації податкових накладних/розрахунків коригування в Єдиному реєстрі податкових накладних затверджений наказом Міністерства фінансів України від 12.12.2019 № 520, зареєстрованим в Міністерстві юстиції України 13.12.2019 за № 1245/34216 (далі – Порядок прийняття рішень).</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Пунктом 2 Порядку прийняття рішень передбачено, що прийняття рішень про реєстрацію/відмову в реєстрації податкових накладних/розрахунків коригування в Єдиному реєстрі податкових накладних (далі – ЄРПН), реєстрацію яких </w:t>
      </w:r>
      <w:proofErr w:type="spellStart"/>
      <w:r w:rsidRPr="00D741EC">
        <w:rPr>
          <w:rFonts w:ascii="Times New Roman" w:hAnsi="Times New Roman" w:cs="Times New Roman"/>
          <w:color w:val="000000"/>
          <w:sz w:val="24"/>
          <w:szCs w:val="24"/>
          <w:shd w:val="clear" w:color="auto" w:fill="FFFFFF"/>
          <w:lang w:val="uk-UA"/>
        </w:rPr>
        <w:t>зупинено</w:t>
      </w:r>
      <w:proofErr w:type="spellEnd"/>
      <w:r w:rsidRPr="00D741EC">
        <w:rPr>
          <w:rFonts w:ascii="Times New Roman" w:hAnsi="Times New Roman" w:cs="Times New Roman"/>
          <w:color w:val="000000"/>
          <w:sz w:val="24"/>
          <w:szCs w:val="24"/>
          <w:shd w:val="clear" w:color="auto" w:fill="FFFFFF"/>
          <w:lang w:val="uk-UA"/>
        </w:rPr>
        <w:t>, здійснюють комісії з питань зупинення реєстрації податкової накладної/розрахунку коригування в ЄРПН головних управлінь Державної податкової служби України в областях, м. Києві та Офісу великих платників податків ДПС (далі – комісія регіонального рівня).</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Відповідно до п. 4 Порядку прийняття рішень у разі зупинення реєстрації податкової накладної/розрахунку коригування в ЄРПН платник податку має право подати копії документів та письмові пояснення стосовно підтвердження інформації, зазначеної у податковій накладній/розрахунку коригування, для розгляду питання прийняття комісією регіонального рівня рішення про реєстрацію/відмову в реєстрації податкової накладної/розрахунку коригування в ЄРПН.</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Згідно з п. 3 Порядку прийняття рішень комісія регіонального рівня протягом п’яти робочих днів, що настають за днем отримання пояснень та копій документів, поданих відповідно до п. 4 Порядку прийняття рішень, приймає рішення про реєстрацію або відмову в реєстрації податкової накладної/розрахунку коригування в ЄРПН та надсилає його платнику податку в порядку, встановленому ст. 42 Податкового кодексу України від 02 грудня 2010 року № 2755-VІ зі змінами та доповненнями (далі – ПКУ).</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Порядок зупинення реєстрації податкової накладної/розрахунку коригування в ЄРПН затверджено постановою Кабінету Міністрів України від 11 грудня 2019 року № 1165 «Про затвердження порядків з питань зупинення реєстрації податкової накладної/розрахунку коригування в Єдиному реєстрі податкових накладних» (далі – Порядок зупинення).</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Згідно з п. 12 Порядку зупинення платник податку має право подати до ДПС таблицю даних платника ПДВ (далі – Таблиця) за встановленою формою згідно з додатком 5 до Порядку зупинення.</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Таблиця подається з поясненням, в якому зазначається вид діяльності, з посиланням на податкову та іншу звітність платника податку (п. 14 Порядку зупинення).</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Комісія регіонального рівня розглядає Таблицю з поясненнями протягом п’яти робочих днів після її отримання та приймає рішення про врахування або неврахування Таблиці, яке надсилається платнику податку в порядку, встановленому ст. 42 ПКУ (</w:t>
      </w:r>
      <w:proofErr w:type="spellStart"/>
      <w:r w:rsidRPr="00D741EC">
        <w:rPr>
          <w:rFonts w:ascii="Times New Roman" w:hAnsi="Times New Roman" w:cs="Times New Roman"/>
          <w:color w:val="000000"/>
          <w:sz w:val="24"/>
          <w:szCs w:val="24"/>
          <w:shd w:val="clear" w:color="auto" w:fill="FFFFFF"/>
          <w:lang w:val="uk-UA"/>
        </w:rPr>
        <w:t>пп</w:t>
      </w:r>
      <w:proofErr w:type="spellEnd"/>
      <w:r w:rsidRPr="00D741EC">
        <w:rPr>
          <w:rFonts w:ascii="Times New Roman" w:hAnsi="Times New Roman" w:cs="Times New Roman"/>
          <w:color w:val="000000"/>
          <w:sz w:val="24"/>
          <w:szCs w:val="24"/>
          <w:shd w:val="clear" w:color="auto" w:fill="FFFFFF"/>
          <w:lang w:val="uk-UA"/>
        </w:rPr>
        <w:t>. 15 та 16 Порядку зупинення).</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Водночас, відповідно до п. 69 </w:t>
      </w:r>
      <w:proofErr w:type="spellStart"/>
      <w:r w:rsidRPr="00D741EC">
        <w:rPr>
          <w:rFonts w:ascii="Times New Roman" w:hAnsi="Times New Roman" w:cs="Times New Roman"/>
          <w:color w:val="000000"/>
          <w:sz w:val="24"/>
          <w:szCs w:val="24"/>
          <w:shd w:val="clear" w:color="auto" w:fill="FFFFFF"/>
          <w:lang w:val="uk-UA"/>
        </w:rPr>
        <w:t>підрозд</w:t>
      </w:r>
      <w:proofErr w:type="spellEnd"/>
      <w:r w:rsidRPr="00D741EC">
        <w:rPr>
          <w:rFonts w:ascii="Times New Roman" w:hAnsi="Times New Roman" w:cs="Times New Roman"/>
          <w:color w:val="000000"/>
          <w:sz w:val="24"/>
          <w:szCs w:val="24"/>
          <w:shd w:val="clear" w:color="auto" w:fill="FFFFFF"/>
          <w:lang w:val="uk-UA"/>
        </w:rPr>
        <w:t xml:space="preserve">. 10 </w:t>
      </w:r>
      <w:proofErr w:type="spellStart"/>
      <w:r w:rsidRPr="00D741EC">
        <w:rPr>
          <w:rFonts w:ascii="Times New Roman" w:hAnsi="Times New Roman" w:cs="Times New Roman"/>
          <w:color w:val="000000"/>
          <w:sz w:val="24"/>
          <w:szCs w:val="24"/>
          <w:shd w:val="clear" w:color="auto" w:fill="FFFFFF"/>
          <w:lang w:val="uk-UA"/>
        </w:rPr>
        <w:t>розд</w:t>
      </w:r>
      <w:proofErr w:type="spellEnd"/>
      <w:r w:rsidRPr="00D741EC">
        <w:rPr>
          <w:rFonts w:ascii="Times New Roman" w:hAnsi="Times New Roman" w:cs="Times New Roman"/>
          <w:color w:val="000000"/>
          <w:sz w:val="24"/>
          <w:szCs w:val="24"/>
          <w:shd w:val="clear" w:color="auto" w:fill="FFFFFF"/>
          <w:lang w:val="uk-UA"/>
        </w:rPr>
        <w:t xml:space="preserve">. ХХ ПКУ тимчасово, на період до припинення або скасування воєнного стану на території України, введеного Указом Президента України від 24 лютого 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 справляння </w:t>
      </w:r>
      <w:r w:rsidRPr="00D741EC">
        <w:rPr>
          <w:rFonts w:ascii="Times New Roman" w:hAnsi="Times New Roman" w:cs="Times New Roman"/>
          <w:color w:val="000000"/>
          <w:sz w:val="24"/>
          <w:szCs w:val="24"/>
          <w:shd w:val="clear" w:color="auto" w:fill="FFFFFF"/>
          <w:lang w:val="uk-UA"/>
        </w:rPr>
        <w:lastRenderedPageBreak/>
        <w:t xml:space="preserve">податків і зборів здійснюється з урахуванням особливостей, визначених п. 69 </w:t>
      </w:r>
      <w:proofErr w:type="spellStart"/>
      <w:r w:rsidRPr="00D741EC">
        <w:rPr>
          <w:rFonts w:ascii="Times New Roman" w:hAnsi="Times New Roman" w:cs="Times New Roman"/>
          <w:color w:val="000000"/>
          <w:sz w:val="24"/>
          <w:szCs w:val="24"/>
          <w:shd w:val="clear" w:color="auto" w:fill="FFFFFF"/>
          <w:lang w:val="uk-UA"/>
        </w:rPr>
        <w:t>підрозд</w:t>
      </w:r>
      <w:proofErr w:type="spellEnd"/>
      <w:r w:rsidRPr="00D741EC">
        <w:rPr>
          <w:rFonts w:ascii="Times New Roman" w:hAnsi="Times New Roman" w:cs="Times New Roman"/>
          <w:color w:val="000000"/>
          <w:sz w:val="24"/>
          <w:szCs w:val="24"/>
          <w:shd w:val="clear" w:color="auto" w:fill="FFFFFF"/>
          <w:lang w:val="uk-UA"/>
        </w:rPr>
        <w:t xml:space="preserve">. 10 </w:t>
      </w:r>
      <w:proofErr w:type="spellStart"/>
      <w:r w:rsidRPr="00D741EC">
        <w:rPr>
          <w:rFonts w:ascii="Times New Roman" w:hAnsi="Times New Roman" w:cs="Times New Roman"/>
          <w:color w:val="000000"/>
          <w:sz w:val="24"/>
          <w:szCs w:val="24"/>
          <w:shd w:val="clear" w:color="auto" w:fill="FFFFFF"/>
          <w:lang w:val="uk-UA"/>
        </w:rPr>
        <w:t>розд</w:t>
      </w:r>
      <w:proofErr w:type="spellEnd"/>
      <w:r w:rsidRPr="00D741EC">
        <w:rPr>
          <w:rFonts w:ascii="Times New Roman" w:hAnsi="Times New Roman" w:cs="Times New Roman"/>
          <w:color w:val="000000"/>
          <w:sz w:val="24"/>
          <w:szCs w:val="24"/>
          <w:shd w:val="clear" w:color="auto" w:fill="FFFFFF"/>
          <w:lang w:val="uk-UA"/>
        </w:rPr>
        <w:t>. ХХ «Перехідні положення» ПКУ.</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Підпунктом 69.9 п. 69 </w:t>
      </w:r>
      <w:proofErr w:type="spellStart"/>
      <w:r w:rsidRPr="00D741EC">
        <w:rPr>
          <w:rFonts w:ascii="Times New Roman" w:hAnsi="Times New Roman" w:cs="Times New Roman"/>
          <w:color w:val="000000"/>
          <w:sz w:val="24"/>
          <w:szCs w:val="24"/>
          <w:shd w:val="clear" w:color="auto" w:fill="FFFFFF"/>
          <w:lang w:val="uk-UA"/>
        </w:rPr>
        <w:t>підрозд</w:t>
      </w:r>
      <w:proofErr w:type="spellEnd"/>
      <w:r w:rsidRPr="00D741EC">
        <w:rPr>
          <w:rFonts w:ascii="Times New Roman" w:hAnsi="Times New Roman" w:cs="Times New Roman"/>
          <w:color w:val="000000"/>
          <w:sz w:val="24"/>
          <w:szCs w:val="24"/>
          <w:shd w:val="clear" w:color="auto" w:fill="FFFFFF"/>
          <w:lang w:val="uk-UA"/>
        </w:rPr>
        <w:t xml:space="preserve">. 10 </w:t>
      </w:r>
      <w:proofErr w:type="spellStart"/>
      <w:r w:rsidRPr="00D741EC">
        <w:rPr>
          <w:rFonts w:ascii="Times New Roman" w:hAnsi="Times New Roman" w:cs="Times New Roman"/>
          <w:color w:val="000000"/>
          <w:sz w:val="24"/>
          <w:szCs w:val="24"/>
          <w:shd w:val="clear" w:color="auto" w:fill="FFFFFF"/>
          <w:lang w:val="uk-UA"/>
        </w:rPr>
        <w:t>розд</w:t>
      </w:r>
      <w:proofErr w:type="spellEnd"/>
      <w:r w:rsidRPr="00D741EC">
        <w:rPr>
          <w:rFonts w:ascii="Times New Roman" w:hAnsi="Times New Roman" w:cs="Times New Roman"/>
          <w:color w:val="000000"/>
          <w:sz w:val="24"/>
          <w:szCs w:val="24"/>
          <w:shd w:val="clear" w:color="auto" w:fill="FFFFFF"/>
          <w:lang w:val="uk-UA"/>
        </w:rPr>
        <w:t>. ХХ «Перехідні положення» ПКУ передбачено, що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 крім:</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дотримання строків реєстрації податкових накладних, розрахунків коригування до них в ЄРПН, подання звітності та/або документів (повідомлень), у тому числі передбачених </w:t>
      </w:r>
      <w:proofErr w:type="spellStart"/>
      <w:r w:rsidRPr="00D741EC">
        <w:rPr>
          <w:rFonts w:ascii="Times New Roman" w:hAnsi="Times New Roman" w:cs="Times New Roman"/>
          <w:color w:val="000000"/>
          <w:sz w:val="24"/>
          <w:szCs w:val="24"/>
          <w:shd w:val="clear" w:color="auto" w:fill="FFFFFF"/>
          <w:lang w:val="uk-UA"/>
        </w:rPr>
        <w:t>ст.ст</w:t>
      </w:r>
      <w:proofErr w:type="spellEnd"/>
      <w:r w:rsidRPr="00D741EC">
        <w:rPr>
          <w:rFonts w:ascii="Times New Roman" w:hAnsi="Times New Roman" w:cs="Times New Roman"/>
          <w:color w:val="000000"/>
          <w:sz w:val="24"/>
          <w:szCs w:val="24"/>
          <w:shd w:val="clear" w:color="auto" w:fill="FFFFFF"/>
          <w:lang w:val="uk-UA"/>
        </w:rPr>
        <w:t>. 39 та 39 прим.2, п. 46.2 ст. 46 ПКУ, сплати податків та зборів платниками податків;</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строків проведення камеральних перевірок, оформлення їх результатів у порядку, визначеному ст. 86 ПКУ, подання скарги на податкове повідомлення-рішення за результатами камеральної перевірки, прийняття рішення за результатом її розгляду, нарахування пені;</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строків проведення фактичних та документальних позапланових перевірок, оформлення їх результатів у порядку, визначеному ст. 86 ПКУ, подання скарги на податкове повідомлення-рішення, рішення про застосування фінансових санкцій за результатами документальної позапланової перевірки або фактичної перевірки та прийняття рішення за результатами їх розгляду, адміністративного арешту майна за результатами документальної позапланової перевірки або фактичної перевірки;</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строків здійснення заходів з погашення податкового боргу платників податків - суб’єктів господарювання, які мають можливість своєчасно виконувати податкові обов’язки, передбачені </w:t>
      </w:r>
      <w:proofErr w:type="spellStart"/>
      <w:r w:rsidRPr="00D741EC">
        <w:rPr>
          <w:rFonts w:ascii="Times New Roman" w:hAnsi="Times New Roman" w:cs="Times New Roman"/>
          <w:color w:val="000000"/>
          <w:sz w:val="24"/>
          <w:szCs w:val="24"/>
          <w:shd w:val="clear" w:color="auto" w:fill="FFFFFF"/>
          <w:lang w:val="uk-UA"/>
        </w:rPr>
        <w:t>ст.ст</w:t>
      </w:r>
      <w:proofErr w:type="spellEnd"/>
      <w:r w:rsidRPr="00D741EC">
        <w:rPr>
          <w:rFonts w:ascii="Times New Roman" w:hAnsi="Times New Roman" w:cs="Times New Roman"/>
          <w:color w:val="000000"/>
          <w:sz w:val="24"/>
          <w:szCs w:val="24"/>
          <w:shd w:val="clear" w:color="auto" w:fill="FFFFFF"/>
          <w:lang w:val="uk-UA"/>
        </w:rPr>
        <w:t>. 59 - 60, 87 - 101 ПКУ, та/або визначення грошових зобов’язань згідно із ст. 116 ПКУ.</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Враховуючи викладене на період дії правового режиму воєнного, надзвичайного стану продовжено терміни подання письмових пояснень та копій документів для платників податків по податкових накладних/розрахунках коригування, реєстрація яких зупинена в ЄРПН, скарг на рішення комісій регіонального рівня відповідно до норм </w:t>
      </w:r>
      <w:proofErr w:type="spellStart"/>
      <w:r w:rsidRPr="00D741EC">
        <w:rPr>
          <w:rFonts w:ascii="Times New Roman" w:hAnsi="Times New Roman" w:cs="Times New Roman"/>
          <w:color w:val="000000"/>
          <w:sz w:val="24"/>
          <w:szCs w:val="24"/>
          <w:shd w:val="clear" w:color="auto" w:fill="FFFFFF"/>
          <w:lang w:val="uk-UA"/>
        </w:rPr>
        <w:t>п.п</w:t>
      </w:r>
      <w:proofErr w:type="spellEnd"/>
      <w:r w:rsidRPr="00D741EC">
        <w:rPr>
          <w:rFonts w:ascii="Times New Roman" w:hAnsi="Times New Roman" w:cs="Times New Roman"/>
          <w:color w:val="000000"/>
          <w:sz w:val="24"/>
          <w:szCs w:val="24"/>
          <w:shd w:val="clear" w:color="auto" w:fill="FFFFFF"/>
          <w:lang w:val="uk-UA"/>
        </w:rPr>
        <w:t xml:space="preserve">. 69.9 п. 69 </w:t>
      </w:r>
      <w:proofErr w:type="spellStart"/>
      <w:r w:rsidRPr="00D741EC">
        <w:rPr>
          <w:rFonts w:ascii="Times New Roman" w:hAnsi="Times New Roman" w:cs="Times New Roman"/>
          <w:color w:val="000000"/>
          <w:sz w:val="24"/>
          <w:szCs w:val="24"/>
          <w:shd w:val="clear" w:color="auto" w:fill="FFFFFF"/>
          <w:lang w:val="uk-UA"/>
        </w:rPr>
        <w:t>підрозд</w:t>
      </w:r>
      <w:proofErr w:type="spellEnd"/>
      <w:r w:rsidRPr="00D741EC">
        <w:rPr>
          <w:rFonts w:ascii="Times New Roman" w:hAnsi="Times New Roman" w:cs="Times New Roman"/>
          <w:color w:val="000000"/>
          <w:sz w:val="24"/>
          <w:szCs w:val="24"/>
          <w:shd w:val="clear" w:color="auto" w:fill="FFFFFF"/>
          <w:lang w:val="uk-UA"/>
        </w:rPr>
        <w:t xml:space="preserve">. 10 </w:t>
      </w:r>
      <w:proofErr w:type="spellStart"/>
      <w:r w:rsidRPr="00D741EC">
        <w:rPr>
          <w:rFonts w:ascii="Times New Roman" w:hAnsi="Times New Roman" w:cs="Times New Roman"/>
          <w:color w:val="000000"/>
          <w:sz w:val="24"/>
          <w:szCs w:val="24"/>
          <w:shd w:val="clear" w:color="auto" w:fill="FFFFFF"/>
          <w:lang w:val="uk-UA"/>
        </w:rPr>
        <w:t>розд</w:t>
      </w:r>
      <w:proofErr w:type="spellEnd"/>
      <w:r w:rsidRPr="00D741EC">
        <w:rPr>
          <w:rFonts w:ascii="Times New Roman" w:hAnsi="Times New Roman" w:cs="Times New Roman"/>
          <w:color w:val="000000"/>
          <w:sz w:val="24"/>
          <w:szCs w:val="24"/>
          <w:shd w:val="clear" w:color="auto" w:fill="FFFFFF"/>
          <w:lang w:val="uk-UA"/>
        </w:rPr>
        <w:t>. ХХ «Перехідні положення» ПКУ.</w:t>
      </w:r>
    </w:p>
    <w:p w:rsidR="00D741EC" w:rsidRPr="00D741EC" w:rsidRDefault="00D741EC" w:rsidP="00D741EC">
      <w:pPr>
        <w:spacing w:after="0" w:line="240" w:lineRule="auto"/>
        <w:ind w:firstLine="567"/>
        <w:jc w:val="both"/>
        <w:rPr>
          <w:rFonts w:ascii="Times New Roman" w:hAnsi="Times New Roman" w:cs="Times New Roman"/>
          <w:color w:val="000000"/>
          <w:sz w:val="24"/>
          <w:szCs w:val="24"/>
          <w:lang w:val="uk-UA"/>
        </w:rPr>
      </w:pPr>
      <w:r w:rsidRPr="00D741EC">
        <w:rPr>
          <w:rFonts w:ascii="Times New Roman" w:hAnsi="Times New Roman" w:cs="Times New Roman"/>
          <w:color w:val="000000"/>
          <w:sz w:val="24"/>
          <w:szCs w:val="24"/>
          <w:shd w:val="clear" w:color="auto" w:fill="FFFFFF"/>
          <w:lang w:val="uk-UA"/>
        </w:rPr>
        <w:t xml:space="preserve">Комісії регіонального рівня у свою чергу продовжують роботу та приймають рішення про реєстрацію податкової накладної/розрахунку коригування в ЄРПН або відмову в такій реєстрації, врахування/неврахування таблиці даних платників податку, відповідності/невідповідності платників критеріям ризиковості з дотриманням строків встановлених нормами </w:t>
      </w:r>
      <w:proofErr w:type="spellStart"/>
      <w:r w:rsidRPr="00D741EC">
        <w:rPr>
          <w:rFonts w:ascii="Times New Roman" w:hAnsi="Times New Roman" w:cs="Times New Roman"/>
          <w:color w:val="000000"/>
          <w:sz w:val="24"/>
          <w:szCs w:val="24"/>
          <w:shd w:val="clear" w:color="auto" w:fill="FFFFFF"/>
          <w:lang w:val="uk-UA"/>
        </w:rPr>
        <w:t>п.п</w:t>
      </w:r>
      <w:proofErr w:type="spellEnd"/>
      <w:r w:rsidRPr="00D741EC">
        <w:rPr>
          <w:rFonts w:ascii="Times New Roman" w:hAnsi="Times New Roman" w:cs="Times New Roman"/>
          <w:color w:val="000000"/>
          <w:sz w:val="24"/>
          <w:szCs w:val="24"/>
          <w:shd w:val="clear" w:color="auto" w:fill="FFFFFF"/>
          <w:lang w:val="uk-UA"/>
        </w:rPr>
        <w:t xml:space="preserve">. 69.9 п. 69 </w:t>
      </w:r>
      <w:proofErr w:type="spellStart"/>
      <w:r w:rsidRPr="00D741EC">
        <w:rPr>
          <w:rFonts w:ascii="Times New Roman" w:hAnsi="Times New Roman" w:cs="Times New Roman"/>
          <w:color w:val="000000"/>
          <w:sz w:val="24"/>
          <w:szCs w:val="24"/>
          <w:shd w:val="clear" w:color="auto" w:fill="FFFFFF"/>
          <w:lang w:val="uk-UA"/>
        </w:rPr>
        <w:t>підрозд</w:t>
      </w:r>
      <w:proofErr w:type="spellEnd"/>
      <w:r w:rsidRPr="00D741EC">
        <w:rPr>
          <w:rFonts w:ascii="Times New Roman" w:hAnsi="Times New Roman" w:cs="Times New Roman"/>
          <w:color w:val="000000"/>
          <w:sz w:val="24"/>
          <w:szCs w:val="24"/>
          <w:shd w:val="clear" w:color="auto" w:fill="FFFFFF"/>
          <w:lang w:val="uk-UA"/>
        </w:rPr>
        <w:t xml:space="preserve">. 10 </w:t>
      </w:r>
      <w:proofErr w:type="spellStart"/>
      <w:r w:rsidRPr="00D741EC">
        <w:rPr>
          <w:rFonts w:ascii="Times New Roman" w:hAnsi="Times New Roman" w:cs="Times New Roman"/>
          <w:color w:val="000000"/>
          <w:sz w:val="24"/>
          <w:szCs w:val="24"/>
          <w:shd w:val="clear" w:color="auto" w:fill="FFFFFF"/>
          <w:lang w:val="uk-UA"/>
        </w:rPr>
        <w:t>розд</w:t>
      </w:r>
      <w:proofErr w:type="spellEnd"/>
      <w:r w:rsidRPr="00D741EC">
        <w:rPr>
          <w:rFonts w:ascii="Times New Roman" w:hAnsi="Times New Roman" w:cs="Times New Roman"/>
          <w:color w:val="000000"/>
          <w:sz w:val="24"/>
          <w:szCs w:val="24"/>
          <w:shd w:val="clear" w:color="auto" w:fill="FFFFFF"/>
          <w:lang w:val="uk-UA"/>
        </w:rPr>
        <w:t>. ХХ «Перехідні положення» ПКУ.</w:t>
      </w:r>
    </w:p>
    <w:p w:rsidR="00D741EC" w:rsidRDefault="00D741EC" w:rsidP="00D741EC">
      <w:pPr>
        <w:spacing w:after="0" w:line="240" w:lineRule="auto"/>
        <w:ind w:firstLine="567"/>
        <w:jc w:val="both"/>
        <w:rPr>
          <w:rFonts w:ascii="Times New Roman" w:hAnsi="Times New Roman" w:cs="Times New Roman"/>
          <w:color w:val="000000"/>
          <w:sz w:val="24"/>
          <w:szCs w:val="24"/>
          <w:shd w:val="clear" w:color="auto" w:fill="FFFFFF"/>
          <w:lang w:val="uk-UA"/>
        </w:rPr>
      </w:pPr>
      <w:r w:rsidRPr="00D741EC">
        <w:rPr>
          <w:rFonts w:ascii="Times New Roman" w:hAnsi="Times New Roman" w:cs="Times New Roman"/>
          <w:color w:val="000000"/>
          <w:sz w:val="24"/>
          <w:szCs w:val="24"/>
          <w:shd w:val="clear" w:color="auto" w:fill="FFFFFF"/>
          <w:lang w:val="uk-UA"/>
        </w:rPr>
        <w:t>При цьому, органами податкової служби вживаються вичерпні заходи щодо прийняття рішень у максимально стислі терміни для створення сприятливих умов ведення бізнесу.</w:t>
      </w:r>
    </w:p>
    <w:p w:rsidR="00D741EC" w:rsidRPr="00D741EC" w:rsidRDefault="00D741EC" w:rsidP="00D741EC">
      <w:pPr>
        <w:ind w:firstLine="567"/>
        <w:rPr>
          <w:rFonts w:ascii="Times New Roman" w:hAnsi="Times New Roman" w:cs="Times New Roman"/>
          <w:sz w:val="24"/>
          <w:szCs w:val="24"/>
        </w:rPr>
      </w:pPr>
      <w:r w:rsidRPr="00D741EC">
        <w:rPr>
          <w:rFonts w:ascii="Times New Roman" w:hAnsi="Times New Roman" w:cs="Times New Roman"/>
          <w:sz w:val="24"/>
          <w:szCs w:val="24"/>
          <w:shd w:val="clear" w:color="auto" w:fill="FFFFFF"/>
        </w:rPr>
        <w:t xml:space="preserve">За </w:t>
      </w:r>
      <w:proofErr w:type="spellStart"/>
      <w:r w:rsidRPr="00D741EC">
        <w:rPr>
          <w:rFonts w:ascii="Times New Roman" w:hAnsi="Times New Roman" w:cs="Times New Roman"/>
          <w:sz w:val="24"/>
          <w:szCs w:val="24"/>
          <w:shd w:val="clear" w:color="auto" w:fill="FFFFFF"/>
        </w:rPr>
        <w:t>інформацією</w:t>
      </w:r>
      <w:proofErr w:type="spellEnd"/>
      <w:r w:rsidRPr="00D741EC">
        <w:rPr>
          <w:rFonts w:ascii="Times New Roman" w:hAnsi="Times New Roman" w:cs="Times New Roman"/>
          <w:sz w:val="24"/>
          <w:szCs w:val="24"/>
          <w:shd w:val="clear" w:color="auto" w:fill="FFFFFF"/>
        </w:rPr>
        <w:t xml:space="preserve"> </w:t>
      </w:r>
      <w:proofErr w:type="spellStart"/>
      <w:r w:rsidRPr="00D741EC">
        <w:rPr>
          <w:rFonts w:ascii="Times New Roman" w:hAnsi="Times New Roman" w:cs="Times New Roman"/>
          <w:sz w:val="24"/>
          <w:szCs w:val="24"/>
          <w:shd w:val="clear" w:color="auto" w:fill="FFFFFF"/>
        </w:rPr>
        <w:t>загальнодоступного</w:t>
      </w:r>
      <w:proofErr w:type="spellEnd"/>
      <w:r w:rsidRPr="00D741EC">
        <w:rPr>
          <w:rFonts w:ascii="Times New Roman" w:hAnsi="Times New Roman" w:cs="Times New Roman"/>
          <w:sz w:val="24"/>
          <w:szCs w:val="24"/>
          <w:shd w:val="clear" w:color="auto" w:fill="FFFFFF"/>
        </w:rPr>
        <w:t xml:space="preserve"> </w:t>
      </w:r>
      <w:proofErr w:type="spellStart"/>
      <w:r w:rsidRPr="00D741EC">
        <w:rPr>
          <w:rFonts w:ascii="Times New Roman" w:hAnsi="Times New Roman" w:cs="Times New Roman"/>
          <w:sz w:val="24"/>
          <w:szCs w:val="24"/>
          <w:shd w:val="clear" w:color="auto" w:fill="FFFFFF"/>
        </w:rPr>
        <w:t>інформаційно-довідкового</w:t>
      </w:r>
      <w:proofErr w:type="spellEnd"/>
      <w:r w:rsidRPr="00D741EC">
        <w:rPr>
          <w:rFonts w:ascii="Times New Roman" w:hAnsi="Times New Roman" w:cs="Times New Roman"/>
          <w:sz w:val="24"/>
          <w:szCs w:val="24"/>
          <w:shd w:val="clear" w:color="auto" w:fill="FFFFFF"/>
        </w:rPr>
        <w:t xml:space="preserve"> ресурсу.</w:t>
      </w:r>
    </w:p>
    <w:p w:rsidR="00D741EC" w:rsidRDefault="00D741EC"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Default="00280BF0" w:rsidP="00D741EC">
      <w:pPr>
        <w:spacing w:after="0" w:line="240" w:lineRule="auto"/>
        <w:rPr>
          <w:rFonts w:ascii="Times New Roman" w:hAnsi="Times New Roman" w:cs="Times New Roman"/>
          <w:sz w:val="28"/>
          <w:szCs w:val="28"/>
          <w:lang w:val="en-US"/>
        </w:rPr>
      </w:pPr>
    </w:p>
    <w:p w:rsidR="00280BF0" w:rsidRPr="00280BF0" w:rsidRDefault="00280BF0" w:rsidP="00D741EC">
      <w:pPr>
        <w:spacing w:after="0" w:line="240" w:lineRule="auto"/>
        <w:rPr>
          <w:rFonts w:ascii="Times New Roman" w:hAnsi="Times New Roman" w:cs="Times New Roman"/>
          <w:sz w:val="28"/>
          <w:szCs w:val="28"/>
          <w:lang w:val="en-US"/>
        </w:rPr>
      </w:pPr>
      <w:bookmarkStart w:id="1" w:name="_GoBack"/>
      <w:bookmarkEnd w:id="1"/>
    </w:p>
    <w:p w:rsidR="00D741EC" w:rsidRPr="00D92C16" w:rsidRDefault="00D741EC" w:rsidP="00D741EC">
      <w:pPr>
        <w:spacing w:after="0" w:line="240" w:lineRule="auto"/>
        <w:rPr>
          <w:rFonts w:ascii="Times New Roman" w:hAnsi="Times New Roman" w:cs="Times New Roman"/>
          <w:sz w:val="28"/>
          <w:szCs w:val="28"/>
        </w:rPr>
      </w:pPr>
    </w:p>
    <w:p w:rsidR="00D741EC" w:rsidRPr="00EA716F" w:rsidRDefault="00D741EC" w:rsidP="00D741EC">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D741EC" w:rsidRPr="00F32254" w:rsidRDefault="00D741EC" w:rsidP="00D741E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D741EC" w:rsidRPr="00D741EC" w:rsidRDefault="00D741EC" w:rsidP="00D741EC">
      <w:pPr>
        <w:spacing w:after="0" w:line="240" w:lineRule="auto"/>
        <w:ind w:firstLine="567"/>
        <w:jc w:val="both"/>
        <w:rPr>
          <w:rFonts w:ascii="Times New Roman" w:hAnsi="Times New Roman" w:cs="Times New Roman"/>
          <w:sz w:val="24"/>
          <w:szCs w:val="24"/>
        </w:rPr>
      </w:pPr>
    </w:p>
    <w:sectPr w:rsidR="00D741EC" w:rsidRPr="00D741EC"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1EC"/>
    <w:rsid w:val="00280BF0"/>
    <w:rsid w:val="004A64BE"/>
    <w:rsid w:val="00751448"/>
    <w:rsid w:val="00D74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D741EC"/>
  </w:style>
  <w:style w:type="character" w:styleId="a3">
    <w:name w:val="Hyperlink"/>
    <w:uiPriority w:val="99"/>
    <w:rsid w:val="00D741EC"/>
    <w:rPr>
      <w:color w:val="0000FF"/>
      <w:u w:val="single"/>
    </w:rPr>
  </w:style>
  <w:style w:type="paragraph" w:styleId="a4">
    <w:name w:val="Balloon Text"/>
    <w:basedOn w:val="a"/>
    <w:link w:val="a5"/>
    <w:uiPriority w:val="99"/>
    <w:semiHidden/>
    <w:unhideWhenUsed/>
    <w:rsid w:val="00D741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4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D741EC"/>
  </w:style>
  <w:style w:type="character" w:styleId="a3">
    <w:name w:val="Hyperlink"/>
    <w:uiPriority w:val="99"/>
    <w:rsid w:val="00D741EC"/>
    <w:rPr>
      <w:color w:val="0000FF"/>
      <w:u w:val="single"/>
    </w:rPr>
  </w:style>
  <w:style w:type="paragraph" w:styleId="a4">
    <w:name w:val="Balloon Text"/>
    <w:basedOn w:val="a"/>
    <w:link w:val="a5"/>
    <w:uiPriority w:val="99"/>
    <w:semiHidden/>
    <w:unhideWhenUsed/>
    <w:rsid w:val="00D741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4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4049</Words>
  <Characters>2309</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2022-12-06T08:32:00Z</dcterms:created>
  <dcterms:modified xsi:type="dcterms:W3CDTF">2022-12-13T06:22:00Z</dcterms:modified>
</cp:coreProperties>
</file>